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DBD2" w14:textId="74867D6A" w:rsidR="0093120F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Notice about MVL COVID-19 IgM/IgG antibody</w:t>
      </w:r>
      <w:r w:rsidRPr="000F6B91">
        <w:t xml:space="preserve"> </w:t>
      </w:r>
      <w:r w:rsidRPr="000F6B91">
        <w:rPr>
          <w:rFonts w:eastAsia="DengXian"/>
          <w:color w:val="201F1E"/>
          <w:sz w:val="22"/>
          <w:szCs w:val="22"/>
          <w:bdr w:val="none" w:sz="0" w:space="0" w:color="auto" w:frame="1"/>
        </w:rPr>
        <w:t>lateral flow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testing</w:t>
      </w:r>
    </w:p>
    <w:p w14:paraId="6D3C21C5" w14:textId="77777777" w:rsidR="0093120F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</w:p>
    <w:p w14:paraId="2428F6EB" w14:textId="474E9B77" w:rsidR="00A41004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Dear</w:t>
      </w:r>
      <w:r w:rsid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Clients,</w:t>
      </w:r>
      <w:r w:rsid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4618277C" w14:textId="77777777" w:rsidR="00A41004" w:rsidRDefault="00A41004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</w:p>
    <w:p w14:paraId="548FCB8D" w14:textId="198E7C68" w:rsidR="0093120F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While f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>alse</w:t>
      </w:r>
      <w:r w:rsidR="00EC5537">
        <w:rPr>
          <w:rFonts w:eastAsia="DengXian"/>
          <w:color w:val="201F1E"/>
          <w:sz w:val="22"/>
          <w:szCs w:val="22"/>
          <w:bdr w:val="none" w:sz="0" w:space="0" w:color="auto" w:frame="1"/>
        </w:rPr>
        <w:t>-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positive IgM 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results 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>can happen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, they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can be largely eliminated if 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the </w:t>
      </w:r>
      <w:r w:rsidR="008421E7">
        <w:rPr>
          <w:rFonts w:eastAsia="DengXian"/>
          <w:color w:val="201F1E"/>
          <w:sz w:val="22"/>
          <w:szCs w:val="22"/>
          <w:bdr w:val="none" w:sz="0" w:space="0" w:color="auto" w:frame="1"/>
        </w:rPr>
        <w:t>appropriate protocols are followed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. FDA has emphasized that quick lateral flow testing cannot be used as </w:t>
      </w:r>
      <w:r w:rsidR="00EC5537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the 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>sole</w:t>
      </w:r>
      <w:r w:rsidR="00EC5537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method</w:t>
      </w:r>
      <w:r w:rsidR="006866F1">
        <w:rPr>
          <w:rFonts w:eastAsia="DengXian"/>
          <w:color w:val="201F1E"/>
          <w:sz w:val="22"/>
          <w:szCs w:val="22"/>
          <w:bdr w:val="none" w:sz="0" w:space="0" w:color="auto" w:frame="1"/>
        </w:rPr>
        <w:t>ology</w:t>
      </w:r>
      <w:r w:rsidR="00EC5537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for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</w:t>
      </w:r>
      <w:r w:rsidR="00EC5537">
        <w:rPr>
          <w:rFonts w:eastAsia="DengXian"/>
          <w:color w:val="201F1E"/>
          <w:sz w:val="22"/>
          <w:szCs w:val="22"/>
          <w:bdr w:val="none" w:sz="0" w:space="0" w:color="auto" w:frame="1"/>
        </w:rPr>
        <w:t>diagnosing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COVID-19</w:t>
      </w:r>
      <w:r w:rsidR="006866F1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. The Agency 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>recommends</w:t>
      </w:r>
      <w:r w:rsidR="006866F1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the use of PCR testing to confirm lateral flow testing results.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5AAFB43" w14:textId="77777777" w:rsidR="0093120F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</w:p>
    <w:p w14:paraId="4934FD55" w14:textId="2C2DD118" w:rsidR="006C4C93" w:rsidRDefault="0093120F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At 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>MVL,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each IgM positive result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>,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especially those 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>with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IgG negative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results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, must be repeated and confirmed by 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>a different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lateral flow </w:t>
      </w:r>
      <w:r w:rsidR="007B2855">
        <w:rPr>
          <w:rFonts w:eastAsia="DengXian"/>
          <w:color w:val="201F1E"/>
          <w:sz w:val="22"/>
          <w:szCs w:val="22"/>
          <w:bdr w:val="none" w:sz="0" w:space="0" w:color="auto" w:frame="1"/>
        </w:rPr>
        <w:t>kit</w:t>
      </w:r>
      <w:r w:rsidR="00A41004" w:rsidRPr="00A41004">
        <w:rPr>
          <w:rFonts w:eastAsia="DengXian"/>
          <w:color w:val="201F1E"/>
          <w:sz w:val="22"/>
          <w:szCs w:val="22"/>
          <w:bdr w:val="none" w:sz="0" w:space="0" w:color="auto" w:frame="1"/>
        </w:rPr>
        <w:t>.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</w:t>
      </w:r>
      <w:r w:rsidR="00E06E15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As of December 12, 2020, we have tested 126 PCR negative cases by </w:t>
      </w:r>
      <w:r w:rsidR="00E06E15" w:rsidRPr="00E06E15">
        <w:rPr>
          <w:rFonts w:eastAsia="DengXian"/>
          <w:color w:val="201F1E"/>
          <w:sz w:val="22"/>
          <w:szCs w:val="22"/>
          <w:bdr w:val="none" w:sz="0" w:space="0" w:color="auto" w:frame="1"/>
        </w:rPr>
        <w:t>IgM/IgG antibody testing</w:t>
      </w:r>
      <w:r w:rsidR="00E06E15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. 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>Up until now, w</w:t>
      </w:r>
      <w:r w:rsidR="00E06E15">
        <w:rPr>
          <w:rFonts w:eastAsia="DengXian"/>
          <w:color w:val="201F1E"/>
          <w:sz w:val="22"/>
          <w:szCs w:val="22"/>
          <w:bdr w:val="none" w:sz="0" w:space="0" w:color="auto" w:frame="1"/>
        </w:rPr>
        <w:t>e have not seen a single positive case</w:t>
      </w:r>
      <w:r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, which </w:t>
      </w:r>
      <w:r w:rsidR="00E06E15">
        <w:rPr>
          <w:rFonts w:eastAsia="DengXian"/>
          <w:color w:val="201F1E"/>
          <w:sz w:val="22"/>
          <w:szCs w:val="22"/>
          <w:bdr w:val="none" w:sz="0" w:space="0" w:color="auto" w:frame="1"/>
        </w:rPr>
        <w:t>indicates that specificity of our</w:t>
      </w:r>
      <w:r w:rsidR="00E06E15" w:rsidRPr="00E06E15">
        <w:t xml:space="preserve"> </w:t>
      </w:r>
      <w:r w:rsidR="00E06E15" w:rsidRPr="00E06E15">
        <w:rPr>
          <w:rFonts w:eastAsia="DengXian"/>
          <w:color w:val="201F1E"/>
          <w:sz w:val="22"/>
          <w:szCs w:val="22"/>
          <w:bdr w:val="none" w:sz="0" w:space="0" w:color="auto" w:frame="1"/>
        </w:rPr>
        <w:t>IgM/IgG antibody testing</w:t>
      </w:r>
      <w:r w:rsidR="00E06E15">
        <w:rPr>
          <w:rFonts w:eastAsia="DengXian"/>
          <w:color w:val="201F1E"/>
          <w:sz w:val="22"/>
          <w:szCs w:val="22"/>
          <w:bdr w:val="none" w:sz="0" w:space="0" w:color="auto" w:frame="1"/>
        </w:rPr>
        <w:t xml:space="preserve"> is 100%.  </w:t>
      </w:r>
    </w:p>
    <w:p w14:paraId="279FDE87" w14:textId="3B28AA53" w:rsidR="00E06E15" w:rsidRDefault="00E06E15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</w:p>
    <w:p w14:paraId="221AFE5B" w14:textId="77777777" w:rsidR="00E06E15" w:rsidRDefault="00E06E15" w:rsidP="00A41004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color w:val="201F1E"/>
          <w:sz w:val="22"/>
          <w:szCs w:val="22"/>
          <w:bdr w:val="none" w:sz="0" w:space="0" w:color="auto" w:frame="1"/>
        </w:rPr>
      </w:pPr>
    </w:p>
    <w:p w14:paraId="64F458B8" w14:textId="77777777" w:rsidR="00146A17" w:rsidRPr="00146A17" w:rsidRDefault="00146A17" w:rsidP="00146A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zh-CN"/>
        </w:rPr>
      </w:pPr>
      <w:r w:rsidRPr="00146A17">
        <w:rPr>
          <w:rFonts w:ascii="Microsoft YaHei" w:eastAsia="Microsoft YaHei" w:hAnsi="Microsoft YaHei" w:cs="Microsoft YaHe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有关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 COVID-19 IgM / IgG </w:t>
      </w:r>
      <w:r w:rsidRPr="00146A17">
        <w:rPr>
          <w:rFonts w:ascii="Microsoft YaHei" w:eastAsia="Microsoft YaHei" w:hAnsi="Microsoft YaHei" w:cs="Microsoft YaHe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抗体测试</w:t>
      </w:r>
    </w:p>
    <w:p w14:paraId="0CFC879A" w14:textId="19A5652E" w:rsidR="00146A17" w:rsidRPr="00146A17" w:rsidRDefault="00146A17" w:rsidP="00146A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zh-CN"/>
        </w:rPr>
      </w:pP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IgM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假阳性</w:t>
      </w:r>
      <w:r w:rsidR="00E06E15"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可能会发生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，但如果程序正确完成，则可以降低假阳性的发生率。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FDA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强调不能将抗体测试作为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COVID-19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的唯一检测诊断，并建议通过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PCR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进行结果确认。因此，在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MVL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检测的每个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IgM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阳性结果，特别是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IgG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阴性结果，必须重复并通过不同的</w:t>
      </w:r>
      <w:r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 COVID-19 IgM / IgG </w:t>
      </w:r>
      <w:r w:rsidRPr="00146A17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试剂盒进行确认</w:t>
      </w:r>
      <w:r w:rsidRPr="00146A17">
        <w:rPr>
          <w:rFonts w:ascii="Microsoft YaHei" w:eastAsia="Microsoft YaHei" w:hAnsi="Microsoft YaHei" w:cs="Microsoft YaHe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。</w:t>
      </w:r>
    </w:p>
    <w:p w14:paraId="24128E54" w14:textId="32BFAB23" w:rsidR="00146A17" w:rsidRPr="00146A17" w:rsidRDefault="00E06E15" w:rsidP="00146A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zh-CN"/>
        </w:rPr>
      </w:pP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截至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2020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年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12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月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12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日，我们已通过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IgM / IgG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抗体检测方法检测了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126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例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PCR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阴性</w:t>
      </w:r>
      <w:r w:rsidR="000577D9" w:rsidRPr="000577D9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顾客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。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 xml:space="preserve"> 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我们还没有看到一个阳性的案例。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 xml:space="preserve"> 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该结果表明，到目前为止，我们的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IgM / IgG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抗体测试的特异性为</w:t>
      </w:r>
      <w:r w:rsidRPr="00E06E15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100</w:t>
      </w:r>
      <w:r w:rsidRPr="00E06E15">
        <w:rPr>
          <w:rFonts w:ascii="Microsoft YaHei" w:eastAsia="Microsoft YaHei" w:hAnsi="Microsoft YaHei" w:cs="Microsoft YaHei" w:hint="eastAsia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％。</w:t>
      </w:r>
      <w:r w:rsidR="00146A17" w:rsidRPr="00146A17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zh-CN"/>
        </w:rPr>
        <w:t> </w:t>
      </w:r>
    </w:p>
    <w:p w14:paraId="46EF7D23" w14:textId="77777777" w:rsidR="00146A17" w:rsidRPr="00146A17" w:rsidRDefault="00146A17" w:rsidP="006C4C93">
      <w:pPr>
        <w:pStyle w:val="NormalWeb"/>
        <w:shd w:val="clear" w:color="auto" w:fill="FFFFFF"/>
        <w:spacing w:after="0"/>
        <w:rPr>
          <w:rFonts w:eastAsia="DengXian"/>
          <w:b/>
          <w:bCs/>
          <w:color w:val="201F1E"/>
          <w:sz w:val="22"/>
          <w:szCs w:val="22"/>
          <w:lang w:eastAsia="zh-CN"/>
        </w:rPr>
      </w:pPr>
    </w:p>
    <w:p w14:paraId="2F67F720" w14:textId="3A43354B" w:rsidR="00E14A47" w:rsidRPr="00146A17" w:rsidRDefault="00A41004" w:rsidP="001D0F51">
      <w:pPr>
        <w:pStyle w:val="NormalWeb"/>
        <w:shd w:val="clear" w:color="auto" w:fill="FFFFFF"/>
        <w:spacing w:before="0" w:beforeAutospacing="0" w:after="0" w:afterAutospacing="0"/>
        <w:rPr>
          <w:rFonts w:eastAsia="DengXian"/>
          <w:b/>
          <w:bCs/>
          <w:color w:val="201F1E"/>
          <w:sz w:val="22"/>
          <w:szCs w:val="22"/>
          <w:lang w:eastAsia="zh-CN"/>
        </w:rPr>
      </w:pPr>
      <w:r w:rsidRPr="00146A17">
        <w:rPr>
          <w:rFonts w:eastAsia="DengXian"/>
          <w:b/>
          <w:bCs/>
          <w:color w:val="201F1E"/>
          <w:sz w:val="22"/>
          <w:szCs w:val="22"/>
          <w:bdr w:val="none" w:sz="0" w:space="0" w:color="auto" w:frame="1"/>
          <w:lang w:eastAsia="zh-CN"/>
        </w:rPr>
        <w:t> </w:t>
      </w:r>
    </w:p>
    <w:sectPr w:rsidR="00E14A47" w:rsidRPr="0014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04"/>
    <w:rsid w:val="000577D9"/>
    <w:rsid w:val="000F6B91"/>
    <w:rsid w:val="00146A17"/>
    <w:rsid w:val="001D0F51"/>
    <w:rsid w:val="002D0FF4"/>
    <w:rsid w:val="003A6D4A"/>
    <w:rsid w:val="004333DF"/>
    <w:rsid w:val="006866F1"/>
    <w:rsid w:val="006C4C93"/>
    <w:rsid w:val="007B2855"/>
    <w:rsid w:val="008421E7"/>
    <w:rsid w:val="008C326B"/>
    <w:rsid w:val="0093120F"/>
    <w:rsid w:val="00A41004"/>
    <w:rsid w:val="00B24234"/>
    <w:rsid w:val="00E06E15"/>
    <w:rsid w:val="00E14A47"/>
    <w:rsid w:val="00E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DAFA"/>
  <w15:chartTrackingRefBased/>
  <w15:docId w15:val="{2C009019-EF16-4EFB-B731-13505595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Chiang</dc:creator>
  <cp:keywords/>
  <dc:description/>
  <cp:lastModifiedBy>Andrew Noble</cp:lastModifiedBy>
  <cp:revision>2</cp:revision>
  <dcterms:created xsi:type="dcterms:W3CDTF">2020-12-13T13:25:00Z</dcterms:created>
  <dcterms:modified xsi:type="dcterms:W3CDTF">2020-12-13T13:25:00Z</dcterms:modified>
</cp:coreProperties>
</file>